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E5" w:rsidRDefault="004E718B">
      <w:pPr>
        <w:pStyle w:val="BodyText"/>
        <w:ind w:left="22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n-AU" w:eastAsia="en-AU"/>
        </w:rPr>
        <w:drawing>
          <wp:inline distT="0" distB="0" distL="0" distR="0">
            <wp:extent cx="1162792" cy="318039"/>
            <wp:effectExtent l="0" t="0" r="0" b="6350"/>
            <wp:docPr id="1" name="image1.jpeg" descr="Griffith Universit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792" cy="31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AE5" w:rsidRDefault="004E718B">
      <w:pPr>
        <w:ind w:left="3119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A15FEE">
        <w:rPr>
          <w:rFonts w:ascii="Times New Roman"/>
          <w:noProof/>
          <w:spacing w:val="-49"/>
          <w:sz w:val="20"/>
          <w:lang w:val="en-AU" w:eastAsia="en-AU"/>
        </w:rPr>
        <mc:AlternateContent>
          <mc:Choice Requires="wps">
            <w:drawing>
              <wp:inline distT="0" distB="0" distL="0" distR="0">
                <wp:extent cx="2425065" cy="276225"/>
                <wp:effectExtent l="12700" t="9525" r="1016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276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AE5" w:rsidRDefault="004E718B">
                            <w:pPr>
                              <w:spacing w:before="84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GMO Transport Procedures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0.9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" fillcolor="silver" strokeweight=".48pt">
                <v:textbox inset="0,0,0,0">
                  <w:txbxContent>
                    <w:p w:rsidR="00213AE5" w:rsidRDefault="004E718B">
                      <w:pPr>
                        <w:spacing w:before="84"/>
                        <w:ind w:left="46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GMO Transport Procedures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3AE5" w:rsidRDefault="00213AE5">
      <w:pPr>
        <w:pStyle w:val="BodyText"/>
        <w:spacing w:before="7"/>
        <w:rPr>
          <w:rFonts w:ascii="Times New Roman"/>
          <w:sz w:val="9"/>
        </w:rPr>
      </w:pPr>
    </w:p>
    <w:p w:rsidR="00213AE5" w:rsidRDefault="004E718B">
      <w:pPr>
        <w:pStyle w:val="ListParagraph"/>
        <w:numPr>
          <w:ilvl w:val="0"/>
          <w:numId w:val="1"/>
        </w:numPr>
        <w:tabs>
          <w:tab w:val="left" w:pos="1084"/>
          <w:tab w:val="left" w:pos="1085"/>
        </w:tabs>
        <w:spacing w:before="100" w:line="350" w:lineRule="auto"/>
        <w:ind w:right="833" w:hanging="359"/>
      </w:pPr>
      <w:bookmarkStart w:id="1" w:name="_"/>
      <w:bookmarkStart w:id="2" w:name="_The_conditions_for_transporting_of_GMO"/>
      <w:bookmarkEnd w:id="1"/>
      <w:bookmarkEnd w:id="2"/>
      <w:r>
        <w:t xml:space="preserve">The conditions for transporting of GMO’s are set out in the OGTR </w:t>
      </w:r>
      <w:r>
        <w:rPr>
          <w:i/>
        </w:rPr>
        <w:t>Guidelines for the Transport of</w:t>
      </w:r>
      <w:r>
        <w:rPr>
          <w:i/>
          <w:spacing w:val="-7"/>
        </w:rPr>
        <w:t xml:space="preserve"> </w:t>
      </w:r>
      <w:r>
        <w:rPr>
          <w:i/>
        </w:rPr>
        <w:t>GMO’s</w:t>
      </w:r>
      <w:r>
        <w:t>.</w:t>
      </w:r>
    </w:p>
    <w:p w:rsidR="00213AE5" w:rsidRDefault="004E718B">
      <w:pPr>
        <w:pStyle w:val="ListParagraph"/>
        <w:numPr>
          <w:ilvl w:val="0"/>
          <w:numId w:val="1"/>
        </w:numPr>
        <w:tabs>
          <w:tab w:val="left" w:pos="1084"/>
          <w:tab w:val="left" w:pos="1085"/>
        </w:tabs>
        <w:spacing w:line="350" w:lineRule="auto"/>
        <w:ind w:right="383" w:hanging="359"/>
      </w:pPr>
      <w:bookmarkStart w:id="3" w:name="_When_transporting_GMO’s_to_another_fac"/>
      <w:bookmarkEnd w:id="3"/>
      <w:r>
        <w:t>When transporting GMO’s to another facility or location outside of the certified facility the GMO’s must be transported with the</w:t>
      </w:r>
      <w:r>
        <w:rPr>
          <w:spacing w:val="-10"/>
        </w:rPr>
        <w:t xml:space="preserve"> </w:t>
      </w:r>
      <w:r>
        <w:t>following:</w:t>
      </w:r>
    </w:p>
    <w:p w:rsidR="00213AE5" w:rsidRDefault="004E718B">
      <w:pPr>
        <w:pStyle w:val="ListParagraph"/>
        <w:numPr>
          <w:ilvl w:val="1"/>
          <w:numId w:val="1"/>
        </w:numPr>
        <w:tabs>
          <w:tab w:val="left" w:pos="1804"/>
          <w:tab w:val="left" w:pos="1805"/>
        </w:tabs>
        <w:spacing w:before="12"/>
        <w:ind w:hanging="360"/>
      </w:pPr>
      <w:r>
        <w:t xml:space="preserve">A labelled primary </w:t>
      </w:r>
      <w:r>
        <w:rPr>
          <w:b/>
        </w:rPr>
        <w:t xml:space="preserve">sealed </w:t>
      </w:r>
      <w:r>
        <w:t>container, which is contained in</w:t>
      </w:r>
      <w:r>
        <w:rPr>
          <w:spacing w:val="-14"/>
        </w:rPr>
        <w:t xml:space="preserve"> </w:t>
      </w:r>
      <w:r>
        <w:t>a,</w:t>
      </w:r>
    </w:p>
    <w:p w:rsidR="00213AE5" w:rsidRDefault="004E718B">
      <w:pPr>
        <w:pStyle w:val="ListParagraph"/>
        <w:numPr>
          <w:ilvl w:val="1"/>
          <w:numId w:val="1"/>
        </w:numPr>
        <w:tabs>
          <w:tab w:val="left" w:pos="1803"/>
          <w:tab w:val="left" w:pos="1805"/>
        </w:tabs>
        <w:spacing w:before="126" w:line="357" w:lineRule="auto"/>
        <w:ind w:right="517" w:hanging="360"/>
      </w:pPr>
      <w:r>
        <w:t xml:space="preserve">Secondary </w:t>
      </w:r>
      <w:r>
        <w:rPr>
          <w:b/>
        </w:rPr>
        <w:t xml:space="preserve">sealed unbreakable </w:t>
      </w:r>
      <w:r>
        <w:t>container. The secondary container should be labelled as indicated by the example</w:t>
      </w:r>
      <w:r>
        <w:rPr>
          <w:spacing w:val="-7"/>
        </w:rPr>
        <w:t xml:space="preserve"> </w:t>
      </w:r>
      <w:r>
        <w:t>below.</w:t>
      </w:r>
    </w:p>
    <w:p w:rsidR="00213AE5" w:rsidRDefault="004E718B">
      <w:pPr>
        <w:pStyle w:val="ListParagraph"/>
        <w:numPr>
          <w:ilvl w:val="0"/>
          <w:numId w:val="1"/>
        </w:numPr>
        <w:tabs>
          <w:tab w:val="left" w:pos="1070"/>
          <w:tab w:val="left" w:pos="1071"/>
        </w:tabs>
        <w:spacing w:before="5"/>
        <w:ind w:left="1070" w:hanging="425"/>
      </w:pPr>
      <w:r>
        <w:t>The label is required to be affixed in a prominent position on the outermost</w:t>
      </w:r>
      <w:r>
        <w:rPr>
          <w:spacing w:val="-18"/>
        </w:rPr>
        <w:t xml:space="preserve"> </w:t>
      </w:r>
      <w:r>
        <w:t>container.</w:t>
      </w:r>
    </w:p>
    <w:p w:rsidR="00213AE5" w:rsidRDefault="004E718B">
      <w:pPr>
        <w:pStyle w:val="ListParagraph"/>
        <w:numPr>
          <w:ilvl w:val="0"/>
          <w:numId w:val="1"/>
        </w:numPr>
        <w:tabs>
          <w:tab w:val="left" w:pos="1070"/>
          <w:tab w:val="left" w:pos="1071"/>
        </w:tabs>
        <w:spacing w:before="125" w:line="350" w:lineRule="auto"/>
        <w:ind w:left="1070" w:right="981" w:hanging="425"/>
      </w:pPr>
      <w:r>
        <w:t>The primary and secondary containers must be decontaminated or destroyed after delivery.</w:t>
      </w:r>
    </w:p>
    <w:p w:rsidR="00213AE5" w:rsidRDefault="004E718B">
      <w:pPr>
        <w:pStyle w:val="ListParagraph"/>
        <w:numPr>
          <w:ilvl w:val="0"/>
          <w:numId w:val="1"/>
        </w:numPr>
        <w:tabs>
          <w:tab w:val="left" w:pos="1070"/>
          <w:tab w:val="left" w:pos="1071"/>
        </w:tabs>
        <w:spacing w:line="352" w:lineRule="auto"/>
        <w:ind w:left="1070" w:right="849" w:hanging="425"/>
      </w:pPr>
      <w:r>
        <w:t>If the GMO is being stored outside an OGTR certified facility it should be labelled as indicated by the example provided</w:t>
      </w:r>
      <w:r>
        <w:rPr>
          <w:spacing w:val="-9"/>
        </w:rPr>
        <w:t xml:space="preserve"> </w:t>
      </w:r>
      <w:r>
        <w:t>below.</w:t>
      </w:r>
    </w:p>
    <w:p w:rsidR="00213AE5" w:rsidRDefault="00213AE5">
      <w:pPr>
        <w:pStyle w:val="BodyText"/>
        <w:rPr>
          <w:sz w:val="20"/>
        </w:rPr>
      </w:pPr>
    </w:p>
    <w:p w:rsidR="00213AE5" w:rsidRDefault="00213AE5">
      <w:pPr>
        <w:pStyle w:val="BodyText"/>
        <w:spacing w:after="1"/>
        <w:rPr>
          <w:sz w:val="25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8"/>
      </w:tblGrid>
      <w:tr w:rsidR="00213AE5">
        <w:trPr>
          <w:trHeight w:val="420"/>
        </w:trPr>
        <w:tc>
          <w:tcPr>
            <w:tcW w:w="9308" w:type="dxa"/>
            <w:shd w:val="clear" w:color="auto" w:fill="C0C0C0"/>
          </w:tcPr>
          <w:p w:rsidR="00213AE5" w:rsidRDefault="004E718B">
            <w:pPr>
              <w:pStyle w:val="TableParagraph"/>
              <w:spacing w:before="85"/>
              <w:ind w:left="2038"/>
              <w:rPr>
                <w:b/>
              </w:rPr>
            </w:pPr>
            <w:r>
              <w:rPr>
                <w:b/>
              </w:rPr>
              <w:t>This parcel contains Genetically Modified Material</w:t>
            </w:r>
          </w:p>
        </w:tc>
      </w:tr>
      <w:tr w:rsidR="00213AE5">
        <w:trPr>
          <w:trHeight w:val="3400"/>
        </w:trPr>
        <w:tc>
          <w:tcPr>
            <w:tcW w:w="9308" w:type="dxa"/>
          </w:tcPr>
          <w:p w:rsidR="00213AE5" w:rsidRDefault="00213AE5">
            <w:pPr>
              <w:pStyle w:val="TableParagraph"/>
              <w:ind w:left="0"/>
            </w:pPr>
          </w:p>
          <w:p w:rsidR="00213AE5" w:rsidRDefault="004E718B">
            <w:pPr>
              <w:pStyle w:val="TableParagraph"/>
              <w:rPr>
                <w:b/>
              </w:rPr>
            </w:pPr>
            <w:r>
              <w:rPr>
                <w:b/>
              </w:rPr>
              <w:t>Contact Details</w:t>
            </w:r>
          </w:p>
          <w:p w:rsidR="00213AE5" w:rsidRDefault="004E718B">
            <w:pPr>
              <w:pStyle w:val="TableParagraph"/>
              <w:spacing w:before="124" w:line="360" w:lineRule="auto"/>
              <w:ind w:right="3407"/>
            </w:pPr>
            <w:r>
              <w:t>Name: …………………………………………………………… Address:</w:t>
            </w:r>
            <w:r>
              <w:rPr>
                <w:spacing w:val="56"/>
              </w:rPr>
              <w:t xml:space="preserve"> </w:t>
            </w:r>
            <w:r>
              <w:t>………………………………………………………..</w:t>
            </w:r>
          </w:p>
          <w:p w:rsidR="00213AE5" w:rsidRDefault="004E718B">
            <w:pPr>
              <w:pStyle w:val="TableParagraph"/>
              <w:spacing w:before="2"/>
              <w:ind w:left="1021"/>
            </w:pPr>
            <w:r>
              <w:t>…………………………………………………………</w:t>
            </w:r>
          </w:p>
          <w:p w:rsidR="00213AE5" w:rsidRDefault="004E718B">
            <w:pPr>
              <w:pStyle w:val="TableParagraph"/>
              <w:spacing w:before="125"/>
              <w:ind w:left="1021"/>
            </w:pPr>
            <w:r>
              <w:t>…………………………………………………………</w:t>
            </w:r>
          </w:p>
          <w:p w:rsidR="00213AE5" w:rsidRDefault="004E718B">
            <w:pPr>
              <w:pStyle w:val="TableParagraph"/>
              <w:spacing w:before="130" w:line="500" w:lineRule="atLeast"/>
              <w:ind w:right="3407"/>
            </w:pPr>
            <w:r>
              <w:t>Phone #: ……………………………………………….. Package number  …… of</w:t>
            </w:r>
            <w:r>
              <w:rPr>
                <w:spacing w:val="55"/>
              </w:rPr>
              <w:t xml:space="preserve"> </w:t>
            </w:r>
            <w:r>
              <w:t>…….</w:t>
            </w:r>
          </w:p>
        </w:tc>
      </w:tr>
      <w:tr w:rsidR="00213AE5">
        <w:trPr>
          <w:trHeight w:val="1760"/>
        </w:trPr>
        <w:tc>
          <w:tcPr>
            <w:tcW w:w="9308" w:type="dxa"/>
          </w:tcPr>
          <w:p w:rsidR="00213AE5" w:rsidRDefault="004E718B">
            <w:pPr>
              <w:pStyle w:val="TableParagraph"/>
              <w:spacing w:line="252" w:lineRule="exact"/>
            </w:pPr>
            <w:r>
              <w:t>Please follow spill or decontamination instructions below:</w:t>
            </w:r>
          </w:p>
          <w:p w:rsidR="00213AE5" w:rsidRDefault="004E718B">
            <w:pPr>
              <w:pStyle w:val="TableParagraph"/>
              <w:spacing w:before="126"/>
            </w:pPr>
            <w:r>
              <w:t>…………………………………………………………………………………………………………</w:t>
            </w:r>
          </w:p>
          <w:p w:rsidR="00213AE5" w:rsidRDefault="004E718B">
            <w:pPr>
              <w:pStyle w:val="TableParagraph"/>
              <w:spacing w:before="126"/>
            </w:pPr>
            <w:r>
              <w:t>…………………………………………………………………………………………………………</w:t>
            </w:r>
          </w:p>
          <w:p w:rsidR="00213AE5" w:rsidRDefault="004E718B">
            <w:pPr>
              <w:pStyle w:val="TableParagraph"/>
              <w:spacing w:before="126"/>
            </w:pPr>
            <w:r>
              <w:t>…………………………………………………………………………………………………………</w:t>
            </w:r>
          </w:p>
        </w:tc>
      </w:tr>
    </w:tbl>
    <w:p w:rsidR="00213AE5" w:rsidRDefault="00213AE5">
      <w:pPr>
        <w:pStyle w:val="BodyText"/>
        <w:rPr>
          <w:sz w:val="20"/>
        </w:rPr>
      </w:pPr>
    </w:p>
    <w:p w:rsidR="00213AE5" w:rsidRDefault="00213AE5">
      <w:pPr>
        <w:pStyle w:val="BodyText"/>
        <w:spacing w:before="6" w:after="1"/>
        <w:rPr>
          <w:sz w:val="15"/>
        </w:rPr>
      </w:pPr>
    </w:p>
    <w:p w:rsidR="00213AE5" w:rsidRDefault="00213AE5">
      <w:pPr>
        <w:pStyle w:val="BodyText"/>
        <w:spacing w:before="7"/>
        <w:rPr>
          <w:sz w:val="9"/>
        </w:rPr>
      </w:pPr>
    </w:p>
    <w:sectPr w:rsidR="00213AE5">
      <w:type w:val="continuous"/>
      <w:pgSz w:w="11910" w:h="16840"/>
      <w:pgMar w:top="7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A4C84"/>
    <w:multiLevelType w:val="hybridMultilevel"/>
    <w:tmpl w:val="72A0C7D0"/>
    <w:lvl w:ilvl="0" w:tplc="FBB26A2A">
      <w:numFmt w:val="bullet"/>
      <w:lvlText w:val=""/>
      <w:lvlJc w:val="left"/>
      <w:pPr>
        <w:ind w:left="1083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2FE81E92">
      <w:numFmt w:val="bullet"/>
      <w:lvlText w:val="•"/>
      <w:lvlJc w:val="left"/>
      <w:pPr>
        <w:ind w:left="1803" w:hanging="36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181062AE"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30163592">
      <w:numFmt w:val="bullet"/>
      <w:lvlText w:val="•"/>
      <w:lvlJc w:val="left"/>
      <w:pPr>
        <w:ind w:left="3636" w:hanging="361"/>
      </w:pPr>
      <w:rPr>
        <w:rFonts w:hint="default"/>
      </w:rPr>
    </w:lvl>
    <w:lvl w:ilvl="4" w:tplc="A400326A">
      <w:numFmt w:val="bullet"/>
      <w:lvlText w:val="•"/>
      <w:lvlJc w:val="left"/>
      <w:pPr>
        <w:ind w:left="4554" w:hanging="361"/>
      </w:pPr>
      <w:rPr>
        <w:rFonts w:hint="default"/>
      </w:rPr>
    </w:lvl>
    <w:lvl w:ilvl="5" w:tplc="83F2731A">
      <w:numFmt w:val="bullet"/>
      <w:lvlText w:val="•"/>
      <w:lvlJc w:val="left"/>
      <w:pPr>
        <w:ind w:left="5473" w:hanging="361"/>
      </w:pPr>
      <w:rPr>
        <w:rFonts w:hint="default"/>
      </w:rPr>
    </w:lvl>
    <w:lvl w:ilvl="6" w:tplc="14FC88FA">
      <w:numFmt w:val="bullet"/>
      <w:lvlText w:val="•"/>
      <w:lvlJc w:val="left"/>
      <w:pPr>
        <w:ind w:left="6391" w:hanging="361"/>
      </w:pPr>
      <w:rPr>
        <w:rFonts w:hint="default"/>
      </w:rPr>
    </w:lvl>
    <w:lvl w:ilvl="7" w:tplc="7FBE34EE">
      <w:numFmt w:val="bullet"/>
      <w:lvlText w:val="•"/>
      <w:lvlJc w:val="left"/>
      <w:pPr>
        <w:ind w:left="7309" w:hanging="361"/>
      </w:pPr>
      <w:rPr>
        <w:rFonts w:hint="default"/>
      </w:rPr>
    </w:lvl>
    <w:lvl w:ilvl="8" w:tplc="196CC09C">
      <w:numFmt w:val="bullet"/>
      <w:lvlText w:val="•"/>
      <w:lvlJc w:val="left"/>
      <w:pPr>
        <w:ind w:left="822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5"/>
    <w:rsid w:val="00213AE5"/>
    <w:rsid w:val="004E718B"/>
    <w:rsid w:val="00560FA0"/>
    <w:rsid w:val="00A1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CD0B01-39C7-493A-BBB0-300D602F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"/>
      <w:ind w:left="1070" w:hanging="425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GMO Transport Procedures</vt:lpstr>
    </vt:vector>
  </TitlesOfParts>
  <Company>Griffith University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 Transport Procedures</dc:title>
  <dc:creator>user</dc:creator>
  <cp:lastModifiedBy>Emma Pires</cp:lastModifiedBy>
  <cp:revision>2</cp:revision>
  <dcterms:created xsi:type="dcterms:W3CDTF">2018-02-23T01:22:00Z</dcterms:created>
  <dcterms:modified xsi:type="dcterms:W3CDTF">2018-02-23T01:22:00Z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2008-03-04T00:00:00Z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2017-05-26T00:00:00Z</vt:filetime>
  </property>
</Properties>
</file>